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A service of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PRACTICAL GUIDE · FOR SCHOOLS</w:t>
      </w:r>
    </w:p>
    <w:p>
      <w:pPr>
        <w:pStyle w:val="Title"/>
      </w:pPr>
      <w:r>
        <w:rPr>
          <w:rFonts w:ascii="Arial" w:cs="Arial" w:eastAsia="Arial" w:hAnsi="Arial"/>
        </w:rPr>
        <w:t xml:space="preserve">What to do when threats are made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What to do when a threat is made at school – verbally, in writing or in a chat? First hour, first day, first week: who does what. For school management, teachers and school social work.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Acute danger – weapon, attack, concrete announcement for today? Call 117 or 112 immediately. Protect yourselves, lock in, do not seek contact with the perpetrator. Follow police instructions.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Principle: every threat is taken seriously. If it is unclear whether it is meant seriously, it is treated as serious until proven otherwise. Most threats do not lead to an act – but perpetrators have almost always hinted at their intention beforehand.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First hour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Whoever learns of a threat reports it immediately to the school management – also outside school hours.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Record the threat word for word: wording, time, place, witnesses. Save screenshots of chats, don’t touch letters any further.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School management makes an initial assessment: is anyone in danger now? If yes or unclear: call the police.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Convene the school’s crisis team. From now on, one person is always reachable and coordinates.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Protect and inform the people threatened – without creating panic.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First day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Involve the cantonal threat management or the police specialist unit, school social work and the school psychology service.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Gather information: were there earlier warning signs, conflicts, humiliations, violent fantasies, suicidal thoughts? Does the person have access to weapons?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Carry out a structured assessment (e.g. with the VORFELD tool).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Talk to the person who made the threat and to the parents or guardians – clearly: the threat is not accepted. And: we want to understand what is behind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Decide on measures: support, report to the KESB, criminal complaint, assessment by child and adolescent psychiatry.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First week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Coordinate communication: who informs the class, the staff, the parents – and about what? Only school management speaks to the outside; if the police are involved, only in agreement with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Support the classes concerned: room for questions and fears, counter rumours with facts.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Plan the return of the person who made the threat: conditions, contact person, support. Exclusion only with restraint and with accompanying measures.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Document everything: decisions, people involved, next steps.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Afterwards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Debriefing in the crisis team: what worked, what didn’t?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Ensure support for teachers and those affected (care team, victim support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Incorporate lessons learned into the school’s safety concept, make reporting channels known.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Documentation sheet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Date and time of the threat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Reported by / to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Exact wording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Place and channel (verbal, letter, chat, social media)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Person(s) threatened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Person making the threat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Weapon, plan, time mentioned?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Already informed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Next steps and person responsible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Sources: guide “Herausforderung Gewalt an Bildungseinrichtungen” (Bern cantonal police), fact sheet “Amokdrohungen” (Lucerne compulsory schooling service). Procedures and responsible services differ from canton to canton.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What to do when threats are made · As of October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do when threats are made</dc:title>
  <dc:creator>wir begleiten</dc:creator>
  <dc:description>krisenintervention.ch</dc:description>
  <cp:lastModifiedBy>Un-named</cp:lastModifiedBy>
  <cp:revision>1</cp:revision>
  <dcterms:created xsi:type="dcterms:W3CDTF">2026-10-12T17:00:58.815Z</dcterms:created>
  <dcterms:modified xsi:type="dcterms:W3CDTF">2026-10-12T17:00:58.816Z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