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4212A" w:sz="12" w:space="4"/>
        </w:pBdr>
        <w:tabs>
          <w:tab w:val="right" w:pos="9906"/>
        </w:tabs>
        <w:spacing w:after="280"/>
      </w:pPr>
      <w:r>
        <w:rPr>
          <w:rFonts w:ascii="Arial" w:cs="Arial" w:eastAsia="Arial" w:hAnsi="Arial"/>
          <w:b/>
          <w:bCs/>
          <w:sz w:val="22"/>
          <w:szCs w:val="22"/>
        </w:rPr>
        <w:t xml:space="preserve">krisenintervention</w:t>
      </w:r>
      <w:r>
        <w:rPr>
          <w:rFonts w:ascii="Arial" w:cs="Arial" w:eastAsia="Arial" w:hAnsi="Arial"/>
          <w:b/>
          <w:bCs/>
          <w:color w:val="1F5F5B"/>
          <w:sz w:val="22"/>
          <w:szCs w:val="22"/>
        </w:rPr>
        <w:t xml:space="preserve">.ch</w:t>
      </w:r>
      <w:r>
        <w:rPr>
          <w:rFonts w:ascii="Arial" w:cs="Arial" w:eastAsia="Arial" w:hAnsi="Arial"/>
          <w:color w:val="4E5C64"/>
          <w:sz w:val="15"/>
          <w:szCs w:val="15"/>
        </w:rPr>
        <w:t xml:space="preserve">	Una oferta de «wir begleiten»</w:t>
      </w:r>
    </w:p>
    <w:p>
      <w:pPr>
        <w:spacing w:after="60"/>
      </w:pPr>
      <w:r>
        <w:rPr>
          <w:rFonts w:ascii="Arial" w:cs="Arial" w:eastAsia="Arial" w:hAnsi="Arial"/>
          <w:color w:val="1F5F5B"/>
          <w:spacing w:val="20"/>
          <w:sz w:val="15"/>
          <w:szCs w:val="15"/>
        </w:rPr>
        <w:t xml:space="preserve">AYUDA PRÁCTICA · PARA ESCUELAS</w:t>
      </w:r>
    </w:p>
    <w:p>
      <w:pPr>
        <w:pStyle w:val="Title"/>
      </w:pPr>
      <w:r>
        <w:rPr>
          <w:rFonts w:ascii="Arial" w:cs="Arial" w:eastAsia="Arial" w:hAnsi="Arial"/>
        </w:rPr>
        <w:t xml:space="preserve">Qué hacer ante amenazas</w:t>
      </w:r>
    </w:p>
    <w:p>
      <w:pPr>
        <w:spacing w:after="240"/>
      </w:pPr>
      <w:r>
        <w:rPr>
          <w:rFonts w:ascii="Arial" w:cs="Arial" w:eastAsia="Arial" w:hAnsi="Arial"/>
          <w:color w:val="3C4A52"/>
          <w:sz w:val="22"/>
          <w:szCs w:val="22"/>
        </w:rPr>
        <w:t xml:space="preserve">¿Qué hacer cuando en la escuela se profiere una amenaza – oralmente, por escrito o en un chat? Primera hora, primer día, primera semana: quién hace qué. Para direcciones escolares, docentes y trabajo social escolar.</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c>
          <w:tcPr>
            <w:tcW w:type="dxa" w:w="9906"/>
            <w:tcBorders>
              <w:top w:val="none" w:color="FFFFFF" w:sz="0"/>
              <w:left w:val="none" w:color="FFFFFF" w:sz="0"/>
              <w:bottom w:val="none" w:color="FFFFFF" w:sz="0"/>
              <w:right w:val="none" w:color="FFFFFF" w:sz="0"/>
            </w:tcBorders>
            <w:shd w:fill="FBE7E3" w:color="auto" w:val="clear"/>
            <w:tcMar>
              <w:top w:type="dxa" w:w="80"/>
              <w:left w:type="dxa" w:w="120"/>
              <w:bottom w:type="dxa" w:w="80"/>
              <w:right w:type="dxa" w:w="120"/>
            </w:tcMar>
          </w:tcPr>
          <w:p>
            <w:pPr>
              <w:spacing w:after="0"/>
            </w:pPr>
            <w:r>
              <w:rPr>
                <w:rFonts w:ascii="Arial" w:cs="Arial" w:eastAsia="Arial" w:hAnsi="Arial"/>
                <w:b/>
                <w:bCs/>
                <w:color w:val="7A1D10"/>
              </w:rPr>
              <w:t xml:space="preserve">¿Peligro agudo – arma, ataque, anuncio concreto para hoy? De inmediato 117 o 112. Protegerse, encerrarse, no buscar contacto con el autor. Seguir las instrucciones de la policía.</w:t>
            </w:r>
          </w:p>
        </w:tc>
      </w:tr>
    </w:tbl>
    <w:p/>
    <w:p>
      <w:pPr>
        <w:spacing w:after="100" w:line="276"/>
      </w:pPr>
      <w:r>
        <w:rPr>
          <w:rFonts w:ascii="Arial" w:cs="Arial" w:eastAsia="Arial" w:hAnsi="Arial"/>
        </w:rPr>
        <w:t xml:space="preserve">Principio: toda amenaza se toma en serio. Si no está claro que vaya en serio, se considera seria hasta que se demuestre lo contrario. La mayoría de las amenazas no terminan en un acto – pero quienes cometen un ataque casi siempre han insinuado antes su intención.</w:t>
      </w:r>
    </w:p>
    <w:p>
      <w:pPr>
        <w:keepNext/>
        <w:pBdr>
          <w:top w:val="single" w:color="D5DAD6" w:sz="4" w:space="6"/>
        </w:pBdr>
        <w:spacing w:after="60" w:before="200"/>
      </w:pPr>
      <w:r>
        <w:rPr>
          <w:rFonts w:ascii="Arial" w:cs="Arial" w:eastAsia="Arial" w:hAnsi="Arial"/>
          <w:b/>
          <w:bCs/>
          <w:color w:val="1F5F5B"/>
          <w:sz w:val="26"/>
          <w:szCs w:val="26"/>
        </w:rPr>
        <w:t xml:space="preserve">Primera hora</w:t>
      </w:r>
    </w:p>
    <w:p>
      <w:pPr>
        <w:pStyle w:val="ListParagraph"/>
        <w:numPr>
          <w:ilvl w:val="0"/>
          <w:numId w:val="2"/>
        </w:numPr>
        <w:spacing w:after="60"/>
      </w:pPr>
      <w:r>
        <w:rPr>
          <w:rFonts w:ascii="Arial" w:cs="Arial" w:eastAsia="Arial" w:hAnsi="Arial"/>
        </w:rPr>
        <w:t xml:space="preserve">Quien se entera de una amenaza la comunica de inmediato a la dirección – también fuera del horario escolar.</w:t>
      </w:r>
    </w:p>
    <w:p>
      <w:pPr>
        <w:pStyle w:val="ListParagraph"/>
        <w:numPr>
          <w:ilvl w:val="0"/>
          <w:numId w:val="2"/>
        </w:numPr>
        <w:spacing w:after="60"/>
      </w:pPr>
      <w:r>
        <w:rPr>
          <w:rFonts w:ascii="Arial" w:cs="Arial" w:eastAsia="Arial" w:hAnsi="Arial"/>
        </w:rPr>
        <w:t xml:space="preserve">Registrar la amenaza literalmente: texto, momento, lugar, testigos. Guardar capturas de pantalla de los chats, no tocar más las cartas.</w:t>
      </w:r>
    </w:p>
    <w:p>
      <w:pPr>
        <w:pStyle w:val="ListParagraph"/>
        <w:numPr>
          <w:ilvl w:val="0"/>
          <w:numId w:val="2"/>
        </w:numPr>
        <w:spacing w:after="60"/>
      </w:pPr>
      <w:r>
        <w:rPr>
          <w:rFonts w:ascii="Arial" w:cs="Arial" w:eastAsia="Arial" w:hAnsi="Arial"/>
        </w:rPr>
        <w:t xml:space="preserve">La dirección hace una primera valoración: ¿hay alguien en peligro ahora? Si es así o no está claro: llamar a la policía.</w:t>
      </w:r>
    </w:p>
    <w:p>
      <w:pPr>
        <w:pStyle w:val="ListParagraph"/>
        <w:numPr>
          <w:ilvl w:val="0"/>
          <w:numId w:val="2"/>
        </w:numPr>
        <w:spacing w:after="60"/>
      </w:pPr>
      <w:r>
        <w:rPr>
          <w:rFonts w:ascii="Arial" w:cs="Arial" w:eastAsia="Arial" w:hAnsi="Arial"/>
        </w:rPr>
        <w:t xml:space="preserve">Convocar al equipo de crisis de la escuela. Desde ese momento, una persona está siempre localizable y coordina.</w:t>
      </w:r>
    </w:p>
    <w:p>
      <w:pPr>
        <w:pStyle w:val="ListParagraph"/>
        <w:numPr>
          <w:ilvl w:val="0"/>
          <w:numId w:val="2"/>
        </w:numPr>
        <w:spacing w:after="60"/>
      </w:pPr>
      <w:r>
        <w:rPr>
          <w:rFonts w:ascii="Arial" w:cs="Arial" w:eastAsia="Arial" w:hAnsi="Arial"/>
        </w:rPr>
        <w:t xml:space="preserve">Proteger e informar a las personas amenazadas – sin crear pánico.</w:t>
      </w:r>
    </w:p>
    <w:p>
      <w:pPr>
        <w:keepNext/>
        <w:pBdr>
          <w:top w:val="single" w:color="D5DAD6" w:sz="4" w:space="6"/>
        </w:pBdr>
        <w:spacing w:after="60" w:before="200"/>
      </w:pPr>
      <w:r>
        <w:rPr>
          <w:rFonts w:ascii="Arial" w:cs="Arial" w:eastAsia="Arial" w:hAnsi="Arial"/>
          <w:b/>
          <w:bCs/>
          <w:color w:val="1F5F5B"/>
          <w:sz w:val="26"/>
          <w:szCs w:val="26"/>
        </w:rPr>
        <w:t xml:space="preserve">Primer día</w:t>
      </w:r>
    </w:p>
    <w:p>
      <w:pPr>
        <w:pStyle w:val="ListParagraph"/>
        <w:numPr>
          <w:ilvl w:val="0"/>
          <w:numId w:val="2"/>
        </w:numPr>
        <w:spacing w:after="60"/>
      </w:pPr>
      <w:r>
        <w:rPr>
          <w:rFonts w:ascii="Arial" w:cs="Arial" w:eastAsia="Arial" w:hAnsi="Arial"/>
        </w:rPr>
        <w:t xml:space="preserve">Implicar a la gestión cantonal de amenazas o al servicio especializado de la policía, al trabajo social escolar y al servicio de psicología escolar.</w:t>
      </w:r>
    </w:p>
    <w:p>
      <w:pPr>
        <w:pStyle w:val="ListParagraph"/>
        <w:numPr>
          <w:ilvl w:val="0"/>
          <w:numId w:val="2"/>
        </w:numPr>
        <w:spacing w:after="60"/>
      </w:pPr>
      <w:r>
        <w:rPr>
          <w:rFonts w:ascii="Arial" w:cs="Arial" w:eastAsia="Arial" w:hAnsi="Arial"/>
        </w:rPr>
        <w:t xml:space="preserve">Reunir información: ¿hubo señales anteriores, conflictos, humillaciones, fantasías de violencia, pensamientos suicidas? ¿Tiene la persona acceso a armas?</w:t>
      </w:r>
    </w:p>
    <w:p>
      <w:pPr>
        <w:pStyle w:val="ListParagraph"/>
        <w:numPr>
          <w:ilvl w:val="0"/>
          <w:numId w:val="2"/>
        </w:numPr>
        <w:spacing w:after="60"/>
      </w:pPr>
      <w:r>
        <w:rPr>
          <w:rFonts w:ascii="Arial" w:cs="Arial" w:eastAsia="Arial" w:hAnsi="Arial"/>
        </w:rPr>
        <w:t xml:space="preserve">Realizar una evaluación estructurada (p. ej. con el instrumento VORFELD).</w:t>
      </w:r>
    </w:p>
    <w:p>
      <w:pPr>
        <w:pStyle w:val="ListParagraph"/>
        <w:numPr>
          <w:ilvl w:val="0"/>
          <w:numId w:val="2"/>
        </w:numPr>
        <w:spacing w:after="60"/>
      </w:pPr>
      <w:r>
        <w:rPr>
          <w:rFonts w:ascii="Arial" w:cs="Arial" w:eastAsia="Arial" w:hAnsi="Arial"/>
        </w:rPr>
        <w:t xml:space="preserve">Conversación con la persona que amenazó y con sus padres o tutores – con claridad: la amenaza no se acepta. Y: queremos entender qué hay detrás.</w:t>
      </w:r>
    </w:p>
    <w:p>
      <w:pPr>
        <w:pStyle w:val="ListParagraph"/>
        <w:numPr>
          <w:ilvl w:val="0"/>
          <w:numId w:val="2"/>
        </w:numPr>
        <w:spacing w:after="60"/>
      </w:pPr>
      <w:r>
        <w:rPr>
          <w:rFonts w:ascii="Arial" w:cs="Arial" w:eastAsia="Arial" w:hAnsi="Arial"/>
        </w:rPr>
        <w:t xml:space="preserve">Decidir medidas: acompañamiento, notificación a la KESB, denuncia, evaluación por psiquiatría infantil y juvenil.</w:t>
      </w:r>
    </w:p>
    <w:p>
      <w:pPr>
        <w:keepNext/>
        <w:pBdr>
          <w:top w:val="single" w:color="D5DAD6" w:sz="4" w:space="6"/>
        </w:pBdr>
        <w:spacing w:after="60" w:before="200"/>
      </w:pPr>
      <w:r>
        <w:rPr>
          <w:rFonts w:ascii="Arial" w:cs="Arial" w:eastAsia="Arial" w:hAnsi="Arial"/>
          <w:b/>
          <w:bCs/>
          <w:color w:val="1F5F5B"/>
          <w:sz w:val="26"/>
          <w:szCs w:val="26"/>
        </w:rPr>
        <w:t xml:space="preserve">Primera semana</w:t>
      </w:r>
    </w:p>
    <w:p>
      <w:pPr>
        <w:pStyle w:val="ListParagraph"/>
        <w:numPr>
          <w:ilvl w:val="0"/>
          <w:numId w:val="2"/>
        </w:numPr>
        <w:spacing w:after="60"/>
      </w:pPr>
      <w:r>
        <w:rPr>
          <w:rFonts w:ascii="Arial" w:cs="Arial" w:eastAsia="Arial" w:hAnsi="Arial"/>
        </w:rPr>
        <w:t xml:space="preserve">Coordinar la comunicación: ¿quién informa a la clase, al profesorado, a las familias – y de qué? Hacia fuera solo habla la dirección; si interviene la policía, solo de acuerdo con ella.</w:t>
      </w:r>
    </w:p>
    <w:p>
      <w:pPr>
        <w:pStyle w:val="ListParagraph"/>
        <w:numPr>
          <w:ilvl w:val="0"/>
          <w:numId w:val="2"/>
        </w:numPr>
        <w:spacing w:after="60"/>
      </w:pPr>
      <w:r>
        <w:rPr>
          <w:rFonts w:ascii="Arial" w:cs="Arial" w:eastAsia="Arial" w:hAnsi="Arial"/>
        </w:rPr>
        <w:t xml:space="preserve">Acompañar a las clases afectadas: espacio para preguntas y miedos, responder a los rumores con hechos.</w:t>
      </w:r>
    </w:p>
    <w:p>
      <w:pPr>
        <w:pStyle w:val="ListParagraph"/>
        <w:numPr>
          <w:ilvl w:val="0"/>
          <w:numId w:val="2"/>
        </w:numPr>
        <w:spacing w:after="60"/>
      </w:pPr>
      <w:r>
        <w:rPr>
          <w:rFonts w:ascii="Arial" w:cs="Arial" w:eastAsia="Arial" w:hAnsi="Arial"/>
        </w:rPr>
        <w:t xml:space="preserve">Planificar el regreso de la persona que amenazó: condiciones, persona de referencia, acompañamiento. Expulsión solo con mesura y con medidas de acompañamiento.</w:t>
      </w:r>
    </w:p>
    <w:p>
      <w:pPr>
        <w:pStyle w:val="ListParagraph"/>
        <w:numPr>
          <w:ilvl w:val="0"/>
          <w:numId w:val="2"/>
        </w:numPr>
        <w:spacing w:after="60"/>
      </w:pPr>
      <w:r>
        <w:rPr>
          <w:rFonts w:ascii="Arial" w:cs="Arial" w:eastAsia="Arial" w:hAnsi="Arial"/>
        </w:rPr>
        <w:t xml:space="preserve">Documentarlo todo: decisiones, personas implicadas, próximos pasos.</w:t>
      </w:r>
    </w:p>
    <w:p>
      <w:pPr>
        <w:keepNext/>
        <w:pBdr>
          <w:top w:val="single" w:color="D5DAD6" w:sz="4" w:space="6"/>
        </w:pBdr>
        <w:spacing w:after="60" w:before="200"/>
      </w:pPr>
      <w:r>
        <w:rPr>
          <w:rFonts w:ascii="Arial" w:cs="Arial" w:eastAsia="Arial" w:hAnsi="Arial"/>
          <w:b/>
          <w:bCs/>
          <w:color w:val="1F5F5B"/>
          <w:sz w:val="26"/>
          <w:szCs w:val="26"/>
        </w:rPr>
        <w:t xml:space="preserve">Después</w:t>
      </w:r>
    </w:p>
    <w:p>
      <w:pPr>
        <w:pStyle w:val="ListParagraph"/>
        <w:numPr>
          <w:ilvl w:val="0"/>
          <w:numId w:val="2"/>
        </w:numPr>
        <w:spacing w:after="60"/>
      </w:pPr>
      <w:r>
        <w:rPr>
          <w:rFonts w:ascii="Arial" w:cs="Arial" w:eastAsia="Arial" w:hAnsi="Arial"/>
        </w:rPr>
        <w:t xml:space="preserve">Reunión de balance del equipo de crisis: ¿qué funcionó y qué no?</w:t>
      </w:r>
    </w:p>
    <w:p>
      <w:pPr>
        <w:pStyle w:val="ListParagraph"/>
        <w:numPr>
          <w:ilvl w:val="0"/>
          <w:numId w:val="2"/>
        </w:numPr>
        <w:spacing w:after="60"/>
      </w:pPr>
      <w:r>
        <w:rPr>
          <w:rFonts w:ascii="Arial" w:cs="Arial" w:eastAsia="Arial" w:hAnsi="Arial"/>
        </w:rPr>
        <w:t xml:space="preserve">Garantizar apoyo al profesorado y a las personas afectadas (Care Team, ayuda a víctimas 142).</w:t>
      </w:r>
    </w:p>
    <w:p>
      <w:pPr>
        <w:pStyle w:val="ListParagraph"/>
        <w:numPr>
          <w:ilvl w:val="0"/>
          <w:numId w:val="2"/>
        </w:numPr>
        <w:spacing w:after="60"/>
      </w:pPr>
      <w:r>
        <w:rPr>
          <w:rFonts w:ascii="Arial" w:cs="Arial" w:eastAsia="Arial" w:hAnsi="Arial"/>
        </w:rPr>
        <w:t xml:space="preserve">Incorporar lo aprendido al concepto de seguridad de la escuela, dar a conocer las vías de comunicación.</w:t>
      </w:r>
    </w:p>
    <w:p>
      <w:pPr>
        <w:pStyle w:val="Heading2"/>
        <w:keepNext/>
      </w:pPr>
      <w:r>
        <w:rPr>
          <w:rFonts w:ascii="Arial" w:cs="Arial" w:eastAsia="Arial" w:hAnsi="Arial"/>
        </w:rPr>
        <w:t xml:space="preserve">Hoja de documentación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200"/>
        <w:gridCol w:w="6706"/>
      </w:tblGrid>
      <w:tr>
        <w:trPr>
          <w:cantSplit/>
          <w:trHeight w:val="520" w:hRule="atLeast"/>
        </w:trPr>
        <w:tc>
          <w:tcPr>
            <w:tcW w:type="dxa" w:w="3200"/>
            <w:tcBorders>
              <w:top w:val="none" w:color="FFFFFF" w:sz="0"/>
              <w:left w:val="none" w:color="FFFFFF" w:sz="0"/>
              <w:bottom w:val="single" w:color="9AA6A2" w:sz="4"/>
              <w:right w:val="none" w:color="FFFFFF" w:sz="0"/>
            </w:tcBorders>
            <w:tcMar>
              <w:top w:type="dxa" w:w="80"/>
              <w:left w:type="dxa" w:w="120"/>
              <w:bottom w:type="dxa" w:w="80"/>
              <w:right w:type="dxa" w:w="120"/>
            </w:tcMar>
            <w:vAlign w:val="bottom"/>
          </w:tcPr>
          <w:p>
            <w:pPr>
              <w:spacing w:after="0"/>
            </w:pPr>
            <w:r>
              <w:rPr>
                <w:rFonts w:ascii="Arial" w:cs="Arial" w:eastAsia="Arial" w:hAnsi="Arial"/>
                <w:color w:val="4E5C64"/>
                <w:sz w:val="18"/>
                <w:szCs w:val="18"/>
              </w:rPr>
              <w:t xml:space="preserve">Fecha y hora de la amenaza</w:t>
            </w:r>
          </w:p>
        </w:tc>
        <w:tc>
          <w:tcPr>
            <w:tcW w:type="dxa" w:w="6706"/>
            <w:tcBorders>
              <w:top w:val="none" w:color="FFFFFF" w:sz="0"/>
              <w:left w:val="none" w:color="FFFFFF" w:sz="0"/>
              <w:bottom w:val="single" w:color="9AA6A2" w:sz="4"/>
              <w:right w:val="none" w:color="FFFFFF" w:sz="0"/>
            </w:tcBorders>
            <w:tcMar>
              <w:top w:type="dxa" w:w="80"/>
              <w:left w:type="dxa" w:w="120"/>
              <w:bottom w:type="dxa" w:w="80"/>
              <w:right w:type="dxa" w:w="120"/>
            </w:tcMar>
          </w:tcPr>
          <w:p/>
        </w:tc>
      </w:tr>
      <w:tr>
        <w:trPr>
          <w:cantSplit/>
          <w:trHeight w:val="520" w:hRule="atLeast"/>
        </w:trPr>
        <w:tc>
          <w:tcPr>
            <w:tcW w:type="dxa" w:w="3200"/>
            <w:tcBorders>
              <w:top w:val="none" w:color="FFFFFF" w:sz="0"/>
              <w:left w:val="none" w:color="FFFFFF" w:sz="0"/>
              <w:bottom w:val="single" w:color="9AA6A2" w:sz="4"/>
              <w:right w:val="none" w:color="FFFFFF" w:sz="0"/>
            </w:tcBorders>
            <w:tcMar>
              <w:top w:type="dxa" w:w="80"/>
              <w:left w:type="dxa" w:w="120"/>
              <w:bottom w:type="dxa" w:w="80"/>
              <w:right w:type="dxa" w:w="120"/>
            </w:tcMar>
            <w:vAlign w:val="bottom"/>
          </w:tcPr>
          <w:p>
            <w:pPr>
              <w:spacing w:after="0"/>
            </w:pPr>
            <w:r>
              <w:rPr>
                <w:rFonts w:ascii="Arial" w:cs="Arial" w:eastAsia="Arial" w:hAnsi="Arial"/>
                <w:color w:val="4E5C64"/>
                <w:sz w:val="18"/>
                <w:szCs w:val="18"/>
              </w:rPr>
              <w:t xml:space="preserve">Comunicada por / a</w:t>
            </w:r>
          </w:p>
        </w:tc>
        <w:tc>
          <w:tcPr>
            <w:tcW w:type="dxa" w:w="6706"/>
            <w:tcBorders>
              <w:top w:val="none" w:color="FFFFFF" w:sz="0"/>
              <w:left w:val="none" w:color="FFFFFF" w:sz="0"/>
              <w:bottom w:val="single" w:color="9AA6A2" w:sz="4"/>
              <w:right w:val="none" w:color="FFFFFF" w:sz="0"/>
            </w:tcBorders>
            <w:tcMar>
              <w:top w:type="dxa" w:w="80"/>
              <w:left w:type="dxa" w:w="120"/>
              <w:bottom w:type="dxa" w:w="80"/>
              <w:right w:type="dxa" w:w="120"/>
            </w:tcMar>
          </w:tcPr>
          <w:p/>
        </w:tc>
      </w:tr>
      <w:tr>
        <w:trPr>
          <w:cantSplit/>
          <w:trHeight w:val="520" w:hRule="atLeast"/>
        </w:trPr>
        <w:tc>
          <w:tcPr>
            <w:tcW w:type="dxa" w:w="3200"/>
            <w:tcBorders>
              <w:top w:val="none" w:color="FFFFFF" w:sz="0"/>
              <w:left w:val="none" w:color="FFFFFF" w:sz="0"/>
              <w:bottom w:val="single" w:color="9AA6A2" w:sz="4"/>
              <w:right w:val="none" w:color="FFFFFF" w:sz="0"/>
            </w:tcBorders>
            <w:tcMar>
              <w:top w:type="dxa" w:w="80"/>
              <w:left w:type="dxa" w:w="120"/>
              <w:bottom w:type="dxa" w:w="80"/>
              <w:right w:type="dxa" w:w="120"/>
            </w:tcMar>
            <w:vAlign w:val="bottom"/>
          </w:tcPr>
          <w:p>
            <w:pPr>
              <w:spacing w:after="0"/>
            </w:pPr>
            <w:r>
              <w:rPr>
                <w:rFonts w:ascii="Arial" w:cs="Arial" w:eastAsia="Arial" w:hAnsi="Arial"/>
                <w:color w:val="4E5C64"/>
                <w:sz w:val="18"/>
                <w:szCs w:val="18"/>
              </w:rPr>
              <w:t xml:space="preserve">Texto exacto</w:t>
            </w:r>
          </w:p>
        </w:tc>
        <w:tc>
          <w:tcPr>
            <w:tcW w:type="dxa" w:w="6706"/>
            <w:tcBorders>
              <w:top w:val="none" w:color="FFFFFF" w:sz="0"/>
              <w:left w:val="none" w:color="FFFFFF" w:sz="0"/>
              <w:bottom w:val="single" w:color="9AA6A2" w:sz="4"/>
              <w:right w:val="none" w:color="FFFFFF" w:sz="0"/>
            </w:tcBorders>
            <w:tcMar>
              <w:top w:type="dxa" w:w="80"/>
              <w:left w:type="dxa" w:w="120"/>
              <w:bottom w:type="dxa" w:w="80"/>
              <w:right w:type="dxa" w:w="120"/>
            </w:tcMar>
          </w:tcPr>
          <w:p/>
        </w:tc>
      </w:tr>
      <w:tr>
        <w:trPr>
          <w:cantSplit/>
          <w:trHeight w:val="520" w:hRule="atLeast"/>
        </w:trPr>
        <w:tc>
          <w:tcPr>
            <w:tcW w:type="dxa" w:w="3200"/>
            <w:tcBorders>
              <w:top w:val="none" w:color="FFFFFF" w:sz="0"/>
              <w:left w:val="none" w:color="FFFFFF" w:sz="0"/>
              <w:bottom w:val="single" w:color="9AA6A2" w:sz="4"/>
              <w:right w:val="none" w:color="FFFFFF" w:sz="0"/>
            </w:tcBorders>
            <w:tcMar>
              <w:top w:type="dxa" w:w="80"/>
              <w:left w:type="dxa" w:w="120"/>
              <w:bottom w:type="dxa" w:w="80"/>
              <w:right w:type="dxa" w:w="120"/>
            </w:tcMar>
            <w:vAlign w:val="bottom"/>
          </w:tcPr>
          <w:p>
            <w:pPr>
              <w:spacing w:after="0"/>
            </w:pPr>
            <w:r>
              <w:rPr>
                <w:rFonts w:ascii="Arial" w:cs="Arial" w:eastAsia="Arial" w:hAnsi="Arial"/>
                <w:color w:val="4E5C64"/>
                <w:sz w:val="18"/>
                <w:szCs w:val="18"/>
              </w:rPr>
              <w:t xml:space="preserve">Lugar y canal (oral, carta, chat, redes sociales)</w:t>
            </w:r>
          </w:p>
        </w:tc>
        <w:tc>
          <w:tcPr>
            <w:tcW w:type="dxa" w:w="6706"/>
            <w:tcBorders>
              <w:top w:val="none" w:color="FFFFFF" w:sz="0"/>
              <w:left w:val="none" w:color="FFFFFF" w:sz="0"/>
              <w:bottom w:val="single" w:color="9AA6A2" w:sz="4"/>
              <w:right w:val="none" w:color="FFFFFF" w:sz="0"/>
            </w:tcBorders>
            <w:tcMar>
              <w:top w:type="dxa" w:w="80"/>
              <w:left w:type="dxa" w:w="120"/>
              <w:bottom w:type="dxa" w:w="80"/>
              <w:right w:type="dxa" w:w="120"/>
            </w:tcMar>
          </w:tcPr>
          <w:p/>
        </w:tc>
      </w:tr>
      <w:tr>
        <w:trPr>
          <w:cantSplit/>
          <w:trHeight w:val="520" w:hRule="atLeast"/>
        </w:trPr>
        <w:tc>
          <w:tcPr>
            <w:tcW w:type="dxa" w:w="3200"/>
            <w:tcBorders>
              <w:top w:val="none" w:color="FFFFFF" w:sz="0"/>
              <w:left w:val="none" w:color="FFFFFF" w:sz="0"/>
              <w:bottom w:val="single" w:color="9AA6A2" w:sz="4"/>
              <w:right w:val="none" w:color="FFFFFF" w:sz="0"/>
            </w:tcBorders>
            <w:tcMar>
              <w:top w:type="dxa" w:w="80"/>
              <w:left w:type="dxa" w:w="120"/>
              <w:bottom w:type="dxa" w:w="80"/>
              <w:right w:type="dxa" w:w="120"/>
            </w:tcMar>
            <w:vAlign w:val="bottom"/>
          </w:tcPr>
          <w:p>
            <w:pPr>
              <w:spacing w:after="0"/>
            </w:pPr>
            <w:r>
              <w:rPr>
                <w:rFonts w:ascii="Arial" w:cs="Arial" w:eastAsia="Arial" w:hAnsi="Arial"/>
                <w:color w:val="4E5C64"/>
                <w:sz w:val="18"/>
                <w:szCs w:val="18"/>
              </w:rPr>
              <w:t xml:space="preserve">Persona(s) amenazada(s)</w:t>
            </w:r>
          </w:p>
        </w:tc>
        <w:tc>
          <w:tcPr>
            <w:tcW w:type="dxa" w:w="6706"/>
            <w:tcBorders>
              <w:top w:val="none" w:color="FFFFFF" w:sz="0"/>
              <w:left w:val="none" w:color="FFFFFF" w:sz="0"/>
              <w:bottom w:val="single" w:color="9AA6A2" w:sz="4"/>
              <w:right w:val="none" w:color="FFFFFF" w:sz="0"/>
            </w:tcBorders>
            <w:tcMar>
              <w:top w:type="dxa" w:w="80"/>
              <w:left w:type="dxa" w:w="120"/>
              <w:bottom w:type="dxa" w:w="80"/>
              <w:right w:type="dxa" w:w="120"/>
            </w:tcMar>
          </w:tcPr>
          <w:p/>
        </w:tc>
      </w:tr>
      <w:tr>
        <w:trPr>
          <w:cantSplit/>
          <w:trHeight w:val="520" w:hRule="atLeast"/>
        </w:trPr>
        <w:tc>
          <w:tcPr>
            <w:tcW w:type="dxa" w:w="3200"/>
            <w:tcBorders>
              <w:top w:val="none" w:color="FFFFFF" w:sz="0"/>
              <w:left w:val="none" w:color="FFFFFF" w:sz="0"/>
              <w:bottom w:val="single" w:color="9AA6A2" w:sz="4"/>
              <w:right w:val="none" w:color="FFFFFF" w:sz="0"/>
            </w:tcBorders>
            <w:tcMar>
              <w:top w:type="dxa" w:w="80"/>
              <w:left w:type="dxa" w:w="120"/>
              <w:bottom w:type="dxa" w:w="80"/>
              <w:right w:type="dxa" w:w="120"/>
            </w:tcMar>
            <w:vAlign w:val="bottom"/>
          </w:tcPr>
          <w:p>
            <w:pPr>
              <w:spacing w:after="0"/>
            </w:pPr>
            <w:r>
              <w:rPr>
                <w:rFonts w:ascii="Arial" w:cs="Arial" w:eastAsia="Arial" w:hAnsi="Arial"/>
                <w:color w:val="4E5C64"/>
                <w:sz w:val="18"/>
                <w:szCs w:val="18"/>
              </w:rPr>
              <w:t xml:space="preserve">Persona que amenazó</w:t>
            </w:r>
          </w:p>
        </w:tc>
        <w:tc>
          <w:tcPr>
            <w:tcW w:type="dxa" w:w="6706"/>
            <w:tcBorders>
              <w:top w:val="none" w:color="FFFFFF" w:sz="0"/>
              <w:left w:val="none" w:color="FFFFFF" w:sz="0"/>
              <w:bottom w:val="single" w:color="9AA6A2" w:sz="4"/>
              <w:right w:val="none" w:color="FFFFFF" w:sz="0"/>
            </w:tcBorders>
            <w:tcMar>
              <w:top w:type="dxa" w:w="80"/>
              <w:left w:type="dxa" w:w="120"/>
              <w:bottom w:type="dxa" w:w="80"/>
              <w:right w:type="dxa" w:w="120"/>
            </w:tcMar>
          </w:tcPr>
          <w:p/>
        </w:tc>
      </w:tr>
      <w:tr>
        <w:trPr>
          <w:cantSplit/>
          <w:trHeight w:val="520" w:hRule="atLeast"/>
        </w:trPr>
        <w:tc>
          <w:tcPr>
            <w:tcW w:type="dxa" w:w="3200"/>
            <w:tcBorders>
              <w:top w:val="none" w:color="FFFFFF" w:sz="0"/>
              <w:left w:val="none" w:color="FFFFFF" w:sz="0"/>
              <w:bottom w:val="single" w:color="9AA6A2" w:sz="4"/>
              <w:right w:val="none" w:color="FFFFFF" w:sz="0"/>
            </w:tcBorders>
            <w:tcMar>
              <w:top w:type="dxa" w:w="80"/>
              <w:left w:type="dxa" w:w="120"/>
              <w:bottom w:type="dxa" w:w="80"/>
              <w:right w:type="dxa" w:w="120"/>
            </w:tcMar>
            <w:vAlign w:val="bottom"/>
          </w:tcPr>
          <w:p>
            <w:pPr>
              <w:spacing w:after="0"/>
            </w:pPr>
            <w:r>
              <w:rPr>
                <w:rFonts w:ascii="Arial" w:cs="Arial" w:eastAsia="Arial" w:hAnsi="Arial"/>
                <w:color w:val="4E5C64"/>
                <w:sz w:val="18"/>
                <w:szCs w:val="18"/>
              </w:rPr>
              <w:t xml:space="preserve">¿Se mencionó arma, plan, momento?</w:t>
            </w:r>
          </w:p>
        </w:tc>
        <w:tc>
          <w:tcPr>
            <w:tcW w:type="dxa" w:w="6706"/>
            <w:tcBorders>
              <w:top w:val="none" w:color="FFFFFF" w:sz="0"/>
              <w:left w:val="none" w:color="FFFFFF" w:sz="0"/>
              <w:bottom w:val="single" w:color="9AA6A2" w:sz="4"/>
              <w:right w:val="none" w:color="FFFFFF" w:sz="0"/>
            </w:tcBorders>
            <w:tcMar>
              <w:top w:type="dxa" w:w="80"/>
              <w:left w:type="dxa" w:w="120"/>
              <w:bottom w:type="dxa" w:w="80"/>
              <w:right w:type="dxa" w:w="120"/>
            </w:tcMar>
          </w:tcPr>
          <w:p/>
        </w:tc>
      </w:tr>
      <w:tr>
        <w:trPr>
          <w:cantSplit/>
          <w:trHeight w:val="520" w:hRule="atLeast"/>
        </w:trPr>
        <w:tc>
          <w:tcPr>
            <w:tcW w:type="dxa" w:w="3200"/>
            <w:tcBorders>
              <w:top w:val="none" w:color="FFFFFF" w:sz="0"/>
              <w:left w:val="none" w:color="FFFFFF" w:sz="0"/>
              <w:bottom w:val="single" w:color="9AA6A2" w:sz="4"/>
              <w:right w:val="none" w:color="FFFFFF" w:sz="0"/>
            </w:tcBorders>
            <w:tcMar>
              <w:top w:type="dxa" w:w="80"/>
              <w:left w:type="dxa" w:w="120"/>
              <w:bottom w:type="dxa" w:w="80"/>
              <w:right w:type="dxa" w:w="120"/>
            </w:tcMar>
            <w:vAlign w:val="bottom"/>
          </w:tcPr>
          <w:p>
            <w:pPr>
              <w:spacing w:after="0"/>
            </w:pPr>
            <w:r>
              <w:rPr>
                <w:rFonts w:ascii="Arial" w:cs="Arial" w:eastAsia="Arial" w:hAnsi="Arial"/>
                <w:color w:val="4E5C64"/>
                <w:sz w:val="18"/>
                <w:szCs w:val="18"/>
              </w:rPr>
              <w:t xml:space="preserve">Ya informados</w:t>
            </w:r>
          </w:p>
        </w:tc>
        <w:tc>
          <w:tcPr>
            <w:tcW w:type="dxa" w:w="6706"/>
            <w:tcBorders>
              <w:top w:val="none" w:color="FFFFFF" w:sz="0"/>
              <w:left w:val="none" w:color="FFFFFF" w:sz="0"/>
              <w:bottom w:val="single" w:color="9AA6A2" w:sz="4"/>
              <w:right w:val="none" w:color="FFFFFF" w:sz="0"/>
            </w:tcBorders>
            <w:tcMar>
              <w:top w:type="dxa" w:w="80"/>
              <w:left w:type="dxa" w:w="120"/>
              <w:bottom w:type="dxa" w:w="80"/>
              <w:right w:type="dxa" w:w="120"/>
            </w:tcMar>
          </w:tcPr>
          <w:p/>
        </w:tc>
      </w:tr>
      <w:tr>
        <w:trPr>
          <w:cantSplit/>
          <w:trHeight w:val="520" w:hRule="atLeast"/>
        </w:trPr>
        <w:tc>
          <w:tcPr>
            <w:tcW w:type="dxa" w:w="3200"/>
            <w:tcBorders>
              <w:top w:val="none" w:color="FFFFFF" w:sz="0"/>
              <w:left w:val="none" w:color="FFFFFF" w:sz="0"/>
              <w:bottom w:val="single" w:color="9AA6A2" w:sz="4"/>
              <w:right w:val="none" w:color="FFFFFF" w:sz="0"/>
            </w:tcBorders>
            <w:tcMar>
              <w:top w:type="dxa" w:w="80"/>
              <w:left w:type="dxa" w:w="120"/>
              <w:bottom w:type="dxa" w:w="80"/>
              <w:right w:type="dxa" w:w="120"/>
            </w:tcMar>
            <w:vAlign w:val="bottom"/>
          </w:tcPr>
          <w:p>
            <w:pPr>
              <w:spacing w:after="0"/>
            </w:pPr>
            <w:r>
              <w:rPr>
                <w:rFonts w:ascii="Arial" w:cs="Arial" w:eastAsia="Arial" w:hAnsi="Arial"/>
                <w:color w:val="4E5C64"/>
                <w:sz w:val="18"/>
                <w:szCs w:val="18"/>
              </w:rPr>
              <w:t xml:space="preserve">Próximos pasos y persona responsable</w:t>
            </w:r>
          </w:p>
        </w:tc>
        <w:tc>
          <w:tcPr>
            <w:tcW w:type="dxa" w:w="6706"/>
            <w:tcBorders>
              <w:top w:val="none" w:color="FFFFFF" w:sz="0"/>
              <w:left w:val="none" w:color="FFFFFF" w:sz="0"/>
              <w:bottom w:val="single" w:color="9AA6A2" w:sz="4"/>
              <w:right w:val="none" w:color="FFFFFF" w:sz="0"/>
            </w:tcBorders>
            <w:tcMar>
              <w:top w:type="dxa" w:w="80"/>
              <w:left w:type="dxa" w:w="120"/>
              <w:bottom w:type="dxa" w:w="80"/>
              <w:right w:type="dxa" w:w="120"/>
            </w:tcMar>
          </w:tcPr>
          <w:p/>
        </w:tc>
      </w:tr>
    </w:tbl>
    <w:p>
      <w:pPr>
        <w:spacing w:after="100" w:line="276"/>
      </w:pPr>
      <w:r>
        <w:rPr>
          <w:rFonts w:ascii="Arial" w:cs="Arial" w:eastAsia="Arial" w:hAnsi="Arial"/>
          <w:color w:val="4E5C64"/>
          <w:sz w:val="16"/>
          <w:szCs w:val="16"/>
        </w:rPr>
        <w:t xml:space="preserve">Fuentes: guía «Herausforderung Gewalt an Bildungseinrichtungen» (Policía cantonal de Berna), hoja informativa «Amokdrohungen» (Servicio de enseñanza obligatoria del cantón de Lucerna). Los procedimientos y servicios competentes varían según el cantón.</w:t>
      </w:r>
    </w:p>
    <w:sectPr>
      <w:footerReference w:type="default" r:id="rId7"/>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906"/>
      </w:tabs>
      <w:spacing w:after="100" w:line="276"/>
    </w:pPr>
    <w:r>
      <w:rPr>
        <w:rFonts w:ascii="Arial" w:cs="Arial" w:eastAsia="Arial" w:hAnsi="Arial"/>
        <w:color w:val="4E5C64"/>
        <w:sz w:val="14"/>
        <w:szCs w:val="14"/>
      </w:rPr>
      <w:t xml:space="preserve">krisenintervention.ch · Qué hacer ante amenazas · Versión octubre 2026</w:t>
    </w:r>
    <w:r>
      <w:rPr>
        <w:rFonts w:ascii="Arial" w:cs="Arial" w:eastAsia="Arial" w:hAnsi="Arial"/>
        <w:color w:val="4E5C64"/>
        <w:sz w:val="14"/>
        <w:szCs w:val="14"/>
      </w:rPr>
      <w:t xml:space="preserve">	Página </w:t>
    </w:r>
    <w:r>
      <w:rPr>
        <w:rFonts w:ascii="Arial" w:cs="Arial" w:eastAsia="Arial" w:hAnsi="Arial"/>
        <w:color w:val="4E5C64"/>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212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60"/>
    </w:pPr>
    <w:rPr>
      <w:rFonts w:ascii="Arial" w:cs="Arial" w:eastAsia="Arial" w:hAnsi="Arial"/>
      <w:b/>
      <w:bCs/>
      <w:color w:val="14212A"/>
      <w:sz w:val="52"/>
      <w:szCs w:val="52"/>
    </w:rPr>
  </w:style>
  <w:style w:type="paragraph" w:styleId="Heading2">
    <w:name w:val="Heading 2"/>
    <w:basedOn w:val="Normal"/>
    <w:next w:val="Normal"/>
    <w:qFormat/>
    <w:pPr>
      <w:spacing w:after="120" w:before="300"/>
      <w:outlineLvl w:val="1"/>
    </w:pPr>
    <w:rPr>
      <w:rFonts w:ascii="Arial" w:cs="Arial" w:eastAsia="Arial" w:hAnsi="Arial"/>
      <w:b/>
      <w:bCs/>
      <w:color w:val="14212A"/>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Qué hacer ante amenazas</dc:title>
  <dc:creator>wir begleiten</dc:creator>
  <dc:description>krisenintervention.ch</dc:description>
  <cp:lastModifiedBy>Un-named</cp:lastModifiedBy>
  <cp:revision>1</cp:revision>
  <dcterms:created xsi:type="dcterms:W3CDTF">2026-10-10T16:54:12.520Z</dcterms:created>
  <dcterms:modified xsi:type="dcterms:W3CDTF">2026-10-10T16:54:12.520Z</dcterms:modified>
</cp:coreProperties>
</file>

<file path=docProps/custom.xml><?xml version="1.0" encoding="utf-8"?>
<Properties xmlns="http://schemas.openxmlformats.org/officeDocument/2006/custom-properties" xmlns:vt="http://schemas.openxmlformats.org/officeDocument/2006/docPropsVTypes"/>
</file>