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Una oferta de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AYUDA PRÁCTICA · LISTA DE CONTROL</w:t>
      </w:r>
    </w:p>
    <w:p>
      <w:pPr>
        <w:pStyle w:val="Title"/>
      </w:pPr>
      <w:r>
        <w:rPr>
          <w:rFonts w:ascii="Arial" w:cs="Arial" w:eastAsia="Arial" w:hAnsi="Arial"/>
        </w:rPr>
        <w:t xml:space="preserve">Notificación a la KESB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Cuándo, cómo y con qué datos notificar una situación de peligro a la KESB, la autoridad suiza de protección de menores y adultos. Para profesionales, instituciones y particulares en Suiza.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¿Peligro agudo para la vida o la integridad física? No notifique y espere – llame de inmediato al 117 o al 144. La notificación a la KESB se hace después.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¿Quién puede y quién debe notificar?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5044"/>
        <w:gridCol w:w="3362"/>
      </w:tblGrid>
      <w:tr>
        <w:trPr>
          <w:tblHeader/>
        </w:trPr>
        <w:tc>
          <w:tcPr>
            <w:tcW w:type="dxa" w:w="1500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5044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Menores</w:t>
            </w:r>
          </w:p>
        </w:tc>
        <w:tc>
          <w:tcPr>
            <w:tcW w:type="dxa" w:w="3362"/>
            <w:shd w:fill="14212A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Adultos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Derecho a notificar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Cualquier persona, si la integridad física, psíquica o sexual de un/a menor parece estar en peligro (art. 314c ap. 1 del Código Civil suizo, CC). Las personas sujetas a secreto profesional pueden notificar si es en interés del/de la menor (ap.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Cualquier persona, si alguien parece necesitar ayuda (art. 443 ap. 1 CC). Queda a salvo el secreto profesional.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Obligación de notificar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Profesionales de la medicina, psicología, enfermería, atención, educación, formación, asesoría social, religión y deporte con contacto regular con menores – siempre que no estén sujetos a secreto profesional –, ante indicios concretos y si no pueden remediar la situación en el marco de su actividad (art. 314d ap. 1 CC). La obligación también se cumple notificando a la persona superior (ap. 2).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Personas que ejercen una función oficial (art. 443 ap. 2 CC).</w:t>
            </w:r>
          </w:p>
        </w:tc>
      </w:tr>
      <w:tr>
        <w:trPr>
          <w:cantSplit/>
        </w:trPr>
        <w:tc>
          <w:tcPr>
            <w:tcW w:type="dxa" w:w="1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Cantonal</w:t>
            </w:r>
          </w:p>
        </w:tc>
        <w:tc>
          <w:tcPr>
            <w:tcW w:type="dxa" w:w="504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Los cantones pueden prever otras obligaciones de notificar (ley de aplicación del CC). Infórmese en su KESB.</w:t>
            </w:r>
          </w:p>
        </w:tc>
        <w:tc>
          <w:tcPr>
            <w:tcW w:type="dxa" w:w="336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7"/>
                <w:szCs w:val="17"/>
              </w:rPr>
              <w:t xml:space="preserve">Igualmente.</w:t>
            </w:r>
          </w:p>
        </w:tc>
      </w:tr>
    </w:tbl>
    <w:p/>
    <w:p>
      <w:pPr>
        <w:pStyle w:val="Heading2"/>
        <w:keepNext/>
      </w:pPr>
      <w:r>
        <w:rPr>
          <w:rFonts w:ascii="Arial" w:cs="Arial" w:eastAsia="Arial" w:hAnsi="Arial"/>
        </w:rPr>
        <w:t xml:space="preserve">Antes de notificar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Observaciones anotadas por escrito con fecha, lugar y situación – hechos separados de valoraciones.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Declaraciones del/de la menor o de la persona afectada anotadas literalmente, sin preguntas sugestivas.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Posibilidades propias examinadas: conversación, apoyo, implicación de servicios especializados.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Comentado internamente con la persona superior o el equipo (principio de los cuatro ojos).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En caso de duda: consulta anónima del caso con la KESB o un servicio de protección infantil – sin dar nombres.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Aclarado si y cómo se informará previamente a los padres o a la persona afectada.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Qué debe incluir la notificación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Sus datos: nombre, función, institución, forma de contacto.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Persona afectada: nombre, fecha de nacimiento, dirección; en menores también los padres o titulares de la patria potestad.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Lo que ha observado u oído concretamente – cuándo, dónde, con qué frecuencia.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Por qué supone una situación de peligro y qué urgencia le atribuye.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Lo que ya se ha hecho y con qué resultado.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Otros profesionales y servicios implicados.</w:t>
      </w:r>
    </w:p>
    <w:p>
      <w:pPr>
        <w:keepLines/>
        <w:spacing w:after="60"/>
        <w:ind w:left="360" w:hanging="360"/>
      </w:pPr>
      <w:r>
        <w:rPr>
          <w:rFonts w:ascii="Arial" w:cs="Arial" w:eastAsia="Arial" w:hAnsi="Arial"/>
          <w:sz w:val="24"/>
          <w:szCs w:val="24"/>
        </w:rPr>
        <w:t xml:space="preserve">☐  </w:t>
      </w:r>
      <w:r>
        <w:rPr>
          <w:rFonts w:ascii="Arial" w:cs="Arial" w:eastAsia="Arial" w:hAnsi="Arial"/>
        </w:rPr>
        <w:t xml:space="preserve">Si los padres o la persona afectada están informados de la notificación.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Redactar bien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Describir en lugar de valorar: «El 3. 10. Lea tenía un hematoma en el brazo» en lugar de «A Lea le pegan».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Objetivo y respetuoso – las personas afectadas podrán consultar el expediente.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Utilice, si existe, el formulario de notificación de su KESB.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Por lo general no se recomiendan las notificaciones anónimas: en ese caso no es posible hacer preguntas.</w:t>
      </w:r>
    </w:p>
    <w:p>
      <w:pPr>
        <w:pStyle w:val="Heading2"/>
        <w:keepNext/>
      </w:pPr>
      <w:r>
        <w:rPr>
          <w:rFonts w:ascii="Arial" w:cs="Arial" w:eastAsia="Arial" w:hAnsi="Arial"/>
        </w:rPr>
        <w:t xml:space="preserve">Qué ocurre después de la notificación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La KESB debe dar curso a cada notificación. Investiga, habla con las personas afectadas y con profesionales y busca primero soluciones de mutuo acuerdo.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Una notificación no implica automáticamente una medida. Muchas investigaciones se cierran sin medida de la autoridad.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Las personas afectadas pueden pedir acceso al expediente – su notificación y su nombre suelen ser visibles.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Quien notifica de buena fe no tiene que temer consecuencias jurídicas.</w:t>
      </w:r>
    </w:p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Versión octubre 2026. Esta lista no sustituye el asesoramiento jurídico. Los procedimientos y formularios varían según el cantón. Fuentes: art. 314c, 314d y 443 del Código Civil suizo; hoja informativa «Meldung an die KESB» del cantón de Appenzell Rodas Exteriores.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Notificación a la KESB · Versión octubre 2026</w:t>
    </w:r>
    <w:r>
      <w:rPr>
        <w:rFonts w:ascii="Arial" w:cs="Arial" w:eastAsia="Arial" w:hAnsi="Arial"/>
        <w:color w:val="4E5C64"/>
        <w:sz w:val="14"/>
        <w:szCs w:val="14"/>
      </w:rPr>
      <w:t xml:space="preserve">	Página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a la KESB</dc:title>
  <dc:creator>wir begleiten</dc:creator>
  <dc:description>krisenintervention.ch</dc:description>
  <cp:lastModifiedBy>Un-named</cp:lastModifiedBy>
  <cp:revision>1</cp:revision>
  <dcterms:created xsi:type="dcterms:W3CDTF">2026-10-10T16:54:12.485Z</dcterms:created>
  <dcterms:modified xsi:type="dcterms:W3CDTF">2026-10-10T16:54:12.485Z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