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Пропозиція мережі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ПРАКТИЧНИЙ МАТЕРІАЛ · КОНТРОЛЬНИЙ СПИСОК</w:t>
      </w:r>
    </w:p>
    <w:p>
      <w:pPr>
        <w:pStyle w:val="Title"/>
      </w:pPr>
      <w:r>
        <w:rPr>
          <w:rFonts w:ascii="Arial" w:cs="Arial" w:eastAsia="Arial" w:hAnsi="Arial"/>
        </w:rPr>
        <w:t xml:space="preserve">Повідомлення до KESB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Коли, як і з якими даними повідомляти про загрозу до KESB – швейцарського органу захисту дітей і дорослих. Для фахівців, установ і приватних осіб у Швейцарії.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E7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7A1D10"/>
              </w:rPr>
              <w:t xml:space="preserve">Гостра загроза життю чи здоров’ю? Не повідомляйте й не чекайте – негайно телефонуйте на 117 або 144. Повідомлення до KESB – після цього.</w:t>
            </w:r>
          </w:p>
        </w:tc>
      </w:tr>
    </w:tbl>
    <w:p/>
    <w:p>
      <w:pPr>
        <w:pStyle w:val="Heading2"/>
        <w:keepNext/>
      </w:pPr>
      <w:r>
        <w:rPr>
          <w:rFonts w:ascii="Arial" w:cs="Arial" w:eastAsia="Arial" w:hAnsi="Arial"/>
        </w:rPr>
        <w:t xml:space="preserve">Хто може, а хто мусить повідомляти?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5044"/>
        <w:gridCol w:w="3362"/>
      </w:tblGrid>
      <w:tr>
        <w:trPr>
          <w:tblHeader/>
        </w:trPr>
        <w:tc>
          <w:tcPr>
            <w:tcW w:type="dxa" w:w="1500"/>
            <w:shd w:fill="14212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/>
            </w:r>
          </w:p>
        </w:tc>
        <w:tc>
          <w:tcPr>
            <w:tcW w:type="dxa" w:w="5044"/>
            <w:shd w:fill="14212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Діти</w:t>
            </w:r>
          </w:p>
        </w:tc>
        <w:tc>
          <w:tcPr>
            <w:tcW w:type="dxa" w:w="3362"/>
            <w:shd w:fill="14212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Дорослі</w:t>
            </w:r>
          </w:p>
        </w:tc>
      </w:tr>
      <w:tr>
        <w:trPr>
          <w:cantSplit/>
        </w:trPr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Право повідомити</w:t>
            </w:r>
          </w:p>
        </w:tc>
        <w:tc>
          <w:tcPr>
            <w:tcW w:type="dxa" w:w="504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Будь-яка особа, якщо фізична, психічна чи статева недоторканність дитини видається під загрозою (ст. 314c ч. 1 Цивільного кодексу Швейцарії, ZGB). Особи, зобов’язані зберігати професійну таємницю, можуть повідомляти, якщо це в інтересах дитини (ч. 2).</w:t>
            </w:r>
          </w:p>
        </w:tc>
        <w:tc>
          <w:tcPr>
            <w:tcW w:type="dxa" w:w="336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Будь-яка особа, якщо хтось видається таким, що потребує допомоги (ст. 443 ч. 1 ZGB). Професійна таємниця зберігається.</w:t>
            </w:r>
          </w:p>
        </w:tc>
      </w:tr>
      <w:tr>
        <w:trPr>
          <w:cantSplit/>
        </w:trPr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Обов’язок повідомити</w:t>
            </w:r>
          </w:p>
        </w:tc>
        <w:tc>
          <w:tcPr>
            <w:tcW w:type="dxa" w:w="504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Фахівці з медицини, психології, догляду, опіки, виховання, освіти, соціального консультування, релігії та спорту, які регулярно контактують із дітьми, – якщо на них не поширюється професійна таємниця, – за наявності конкретних ознак і якщо вони не можуть усунути проблему в межах своєї діяльності (ст. 314d ч. 1 ZGB). Обов’язок виконано й повідомленням керівникові (ч. 2).</w:t>
            </w:r>
          </w:p>
        </w:tc>
        <w:tc>
          <w:tcPr>
            <w:tcW w:type="dxa" w:w="336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Особи, що виконують службові функції (ст. 443 ч. 2 ZGB).</w:t>
            </w:r>
          </w:p>
        </w:tc>
      </w:tr>
      <w:tr>
        <w:trPr>
          <w:cantSplit/>
        </w:trPr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Кантональне</w:t>
            </w:r>
          </w:p>
        </w:tc>
        <w:tc>
          <w:tcPr>
            <w:tcW w:type="dxa" w:w="504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Кантони можуть передбачати додаткові обов’язки повідомлення (закон про запровадження ZGB). Дізнайтеся у своєму KESB.</w:t>
            </w:r>
          </w:p>
        </w:tc>
        <w:tc>
          <w:tcPr>
            <w:tcW w:type="dxa" w:w="336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Так само.</w:t>
            </w:r>
          </w:p>
        </w:tc>
      </w:tr>
    </w:tbl>
    <w:p/>
    <w:p>
      <w:pPr>
        <w:pStyle w:val="Heading2"/>
        <w:keepNext/>
      </w:pPr>
      <w:r>
        <w:rPr>
          <w:rFonts w:ascii="Arial" w:cs="Arial" w:eastAsia="Arial" w:hAnsi="Arial"/>
        </w:rPr>
        <w:t xml:space="preserve">Перед повідомленням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Спостереження записані з датою, місцем і ситуацією – факти окремо від оцінок.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Слова дитини чи постраждалої особи записані дослівно, без навідних запитань.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Перевірено власні можливості: розмова, підтримка, залучення фахових служб.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Обговорено всередині установи з керівником чи командою (принцип чотирьох очей).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У разі сумнівів: анонімна консультація щодо випадку з KESB або службою захисту дітей – без імен.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З’ясовано, чи і як батьків або постраждалу особу буде попередньо поінформовано.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Що має містити повідомлення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Ваші дані: ім’я, посада, установа, контакти.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Постраждала особа: ім’я, дата народження, адреса; для дітей також батьки чи опікуни.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Що ви конкретно бачили чи чули – коли, де, як часто.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Чому ви припускаєте загрозу і наскільки терміновою її вважаєте.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Що вже зроблено і з яким результатом.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Інші залучені фахівці та служби.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Чи поінформовані батьки або постраждала особа про повідомлення.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Добре сформулювати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Описувати, а не оцінювати: «3. 10. у Леї був синець на плечі» замість «Лею б’ють».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Фактично й шанобливо – постраждалі згодом мають доступ до матеріалів справи.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Використовуйте, якщо є, бланк повідомлення свого KESB.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Анонімні повідомлення зазвичай не рекомендуються: тоді неможливо поставити уточнювальні запитання.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Що відбувається після повідомлення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KESB мусить розглянути кожне повідомлення. Він з’ясовує обставини, говорить із постраждалими й фахівцями і спершу шукає рішення за згодою.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Повідомлення не означає автоматично вжиття заходів. Багато перевірок завершуються без офіційних заходів.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Постраждалі можуть вимагати доступу до матеріалів справи – ваше повідомлення й ім’я там зазвичай видно.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Хто повідомляє добросовісно, не мусить боятися правових наслідків.</w:t>
      </w:r>
    </w:p>
    <w:p>
      <w:pPr>
        <w:spacing w:after="100" w:line="276"/>
      </w:pPr>
      <w:r>
        <w:rPr>
          <w:rFonts w:ascii="Arial" w:cs="Arial" w:eastAsia="Arial" w:hAnsi="Arial"/>
          <w:color w:val="4E5C64"/>
          <w:sz w:val="16"/>
          <w:szCs w:val="16"/>
        </w:rPr>
        <w:t xml:space="preserve">Станом на жовтень 2026. Цей список не замінює юридичної консультації. Процедури й бланки різняться залежно від кантону. Джерела: ст. 314c, 314d і 443 ZGB; пам’ятка «Meldung an die KESB» кантону Аппенцелль-Ауссерроден.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Повідомлення до KESB · Станом на жовтень 2026</w:t>
    </w:r>
    <w:r>
      <w:rPr>
        <w:rFonts w:ascii="Arial" w:cs="Arial" w:eastAsia="Arial" w:hAnsi="Arial"/>
        <w:color w:val="4E5C64"/>
        <w:sz w:val="14"/>
        <w:szCs w:val="14"/>
      </w:rPr>
      <w:t xml:space="preserve">	Сторінка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Повідомлення до KESB</dc:title>
  <dc:creator>wir begleiten</dc:creator>
  <dc:description>krisenintervention.ch</dc:description>
  <cp:lastModifiedBy>Un-named</cp:lastModifiedBy>
  <cp:revision>1</cp:revision>
  <dcterms:created xsi:type="dcterms:W3CDTF">2026-10-10T16:54:12.846Z</dcterms:created>
  <dcterms:modified xsi:type="dcterms:W3CDTF">2026-10-10T16:54:12.846Z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